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0F" w:rsidRDefault="00C2550F">
      <w:pPr>
        <w:tabs>
          <w:tab w:val="left" w:pos="72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Title</w:t>
      </w:r>
    </w:p>
    <w:p w:rsidR="00C2550F" w:rsidRDefault="00C2550F">
      <w:pPr>
        <w:tabs>
          <w:tab w:val="left" w:pos="720"/>
        </w:tabs>
        <w:rPr>
          <w:rFonts w:ascii="Arial" w:hAnsi="Arial" w:cs="Arial"/>
        </w:rPr>
      </w:pPr>
    </w:p>
    <w:p w:rsidR="00C2550F" w:rsidRDefault="00732EDF">
      <w:pPr>
        <w:pStyle w:val="BodyTextIndent"/>
      </w:pPr>
      <w:r>
        <w:t>Property and Casualty</w:t>
      </w:r>
      <w:r w:rsidR="00C2550F">
        <w:t xml:space="preserve"> Insurance</w:t>
      </w:r>
      <w:r w:rsidR="00BF7C32">
        <w:t xml:space="preserve"> and Surety Bonds</w:t>
      </w:r>
    </w:p>
    <w:p w:rsidR="00C2550F" w:rsidRDefault="00C2550F">
      <w:pPr>
        <w:tabs>
          <w:tab w:val="left" w:pos="720"/>
        </w:tabs>
        <w:rPr>
          <w:rFonts w:ascii="Arial" w:hAnsi="Arial" w:cs="Arial"/>
        </w:rPr>
      </w:pPr>
    </w:p>
    <w:p w:rsidR="00C2550F" w:rsidRDefault="00C2550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Rule and Regulation</w:t>
      </w:r>
    </w:p>
    <w:p w:rsidR="00C2550F" w:rsidRDefault="00C2550F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</w:rPr>
      </w:pPr>
    </w:p>
    <w:p w:rsidR="00C2550F" w:rsidRDefault="00C2550F">
      <w:pPr>
        <w:pStyle w:val="SubsectionText"/>
        <w:ind w:left="1800" w:hanging="1080"/>
      </w:pPr>
      <w:r>
        <w:t>Sec. 1</w:t>
      </w:r>
      <w:r>
        <w:tab/>
        <w:t xml:space="preserve">Authority to Purchase.  The </w:t>
      </w:r>
      <w:r w:rsidR="00E75B26">
        <w:t>purchase or renewal</w:t>
      </w:r>
      <w:r>
        <w:t xml:space="preserve"> of any insurance policies</w:t>
      </w:r>
      <w:r w:rsidR="00BF7C32">
        <w:t xml:space="preserve"> and surety bonds</w:t>
      </w:r>
      <w:r>
        <w:t>, other than life, disability, and health insurance policie</w:t>
      </w:r>
      <w:r w:rsidR="003A561B">
        <w:t>s for any U. T. System</w:t>
      </w:r>
      <w:r>
        <w:t xml:space="preserve"> institution or for System Administration, shall be negotiated </w:t>
      </w:r>
      <w:r w:rsidR="00E75B26">
        <w:t xml:space="preserve">and approved </w:t>
      </w:r>
      <w:r>
        <w:t xml:space="preserve">by the </w:t>
      </w:r>
      <w:r w:rsidR="00E75B26">
        <w:t>Chief Compliance and Risk Officer or designee</w:t>
      </w:r>
      <w:r>
        <w:t>.</w:t>
      </w:r>
      <w:r w:rsidR="00EE358D">
        <w:t xml:space="preserve"> </w:t>
      </w:r>
      <w:r>
        <w:t xml:space="preserve">The Executive Vice Chancellor for Business Affairs shall </w:t>
      </w:r>
      <w:r w:rsidR="00F817C8">
        <w:t xml:space="preserve">also </w:t>
      </w:r>
      <w:r>
        <w:t>approve the purchase or renewal of policies with premiums in excess of $500,000.</w:t>
      </w:r>
    </w:p>
    <w:p w:rsidR="00C2550F" w:rsidRDefault="00C2550F">
      <w:pPr>
        <w:pStyle w:val="SubsectionText"/>
        <w:ind w:left="1800" w:hanging="1080"/>
        <w:rPr>
          <w:rFonts w:eastAsia="MS Mincho"/>
        </w:rPr>
      </w:pPr>
    </w:p>
    <w:p w:rsidR="00C2550F" w:rsidRDefault="00C2550F">
      <w:pPr>
        <w:pStyle w:val="SubsectionText"/>
        <w:ind w:left="1800" w:hanging="1080"/>
      </w:pPr>
      <w:r>
        <w:rPr>
          <w:rFonts w:eastAsia="MS Mincho"/>
        </w:rPr>
        <w:t>Sec. 2</w:t>
      </w:r>
      <w:r>
        <w:rPr>
          <w:rFonts w:eastAsia="MS Mincho"/>
        </w:rPr>
        <w:tab/>
      </w:r>
      <w:r>
        <w:t xml:space="preserve">Notice of Loss and Approval of Claims.  At the time a loss occurs applicable to either </w:t>
      </w:r>
      <w:r w:rsidR="004622FE">
        <w:t>Systemwide</w:t>
      </w:r>
      <w:r>
        <w:t xml:space="preserve"> or individual insurance policies</w:t>
      </w:r>
      <w:r w:rsidR="00BF7C32">
        <w:t xml:space="preserve"> and surety bonds</w:t>
      </w:r>
      <w:r>
        <w:t xml:space="preserve">, the </w:t>
      </w:r>
      <w:r w:rsidR="00E75B26">
        <w:t xml:space="preserve">Chief Compliance and Risk Officer or designee </w:t>
      </w:r>
      <w:r>
        <w:t xml:space="preserve">shall be notified by the chief </w:t>
      </w:r>
      <w:r w:rsidR="003A561B">
        <w:t>business officer of the</w:t>
      </w:r>
      <w:r>
        <w:t xml:space="preserve"> institution.</w:t>
      </w:r>
      <w:r w:rsidR="00EE358D">
        <w:t xml:space="preserve"> </w:t>
      </w:r>
      <w:r>
        <w:t xml:space="preserve">For all claims, other than life, disability and health claims, the </w:t>
      </w:r>
      <w:r w:rsidR="00E75B26">
        <w:t>Chief Compliance and Risk Officer or designee</w:t>
      </w:r>
      <w:r>
        <w:t xml:space="preserve"> shall approve all loss claims and settlements under $250,000.</w:t>
      </w:r>
      <w:r w:rsidR="00EE358D">
        <w:t xml:space="preserve"> </w:t>
      </w:r>
      <w:r>
        <w:t xml:space="preserve">The Executive Vice Chancellor for Business Affairs shall approve any settlement </w:t>
      </w:r>
      <w:r w:rsidR="00BF7C32">
        <w:t>between $250,000 and</w:t>
      </w:r>
      <w:r>
        <w:t xml:space="preserve"> </w:t>
      </w:r>
      <w:r w:rsidR="00D73463">
        <w:t>$</w:t>
      </w:r>
      <w:r w:rsidR="00A44E50">
        <w:t>1,000,000, and any settlements under the University’s Comprehensive Property Protection Plan</w:t>
      </w:r>
      <w:r>
        <w:t>.</w:t>
      </w:r>
      <w:r w:rsidR="00EE358D">
        <w:t xml:space="preserve"> </w:t>
      </w:r>
      <w:r>
        <w:t xml:space="preserve">Settlement of commercial insurance </w:t>
      </w:r>
      <w:r w:rsidR="00BF7C32">
        <w:t xml:space="preserve">or surety bond </w:t>
      </w:r>
      <w:r>
        <w:t>claims in excess of $1,000,000 must have the approval of the Board</w:t>
      </w:r>
      <w:r w:rsidR="003A561B">
        <w:t xml:space="preserve"> of Regents</w:t>
      </w:r>
      <w:r>
        <w:t>.</w:t>
      </w:r>
    </w:p>
    <w:p w:rsidR="00C2550F" w:rsidRDefault="00C2550F">
      <w:pPr>
        <w:pStyle w:val="Subdivision"/>
        <w:tabs>
          <w:tab w:val="clear" w:pos="3240"/>
        </w:tabs>
        <w:ind w:left="1800"/>
        <w:rPr>
          <w:rFonts w:eastAsia="MS Mincho"/>
        </w:rPr>
      </w:pPr>
    </w:p>
    <w:p w:rsidR="00C2550F" w:rsidRDefault="00C2550F">
      <w:pPr>
        <w:pStyle w:val="SubsectionText"/>
        <w:ind w:left="1800" w:hanging="1080"/>
        <w:rPr>
          <w:rFonts w:cs="Arial"/>
        </w:rPr>
      </w:pPr>
      <w:r>
        <w:rPr>
          <w:rFonts w:eastAsia="MS Mincho"/>
        </w:rPr>
        <w:t>Sec. 3</w:t>
      </w:r>
      <w:r>
        <w:rPr>
          <w:rFonts w:eastAsia="MS Mincho"/>
        </w:rPr>
        <w:tab/>
      </w:r>
      <w:r>
        <w:rPr>
          <w:rFonts w:cs="Arial"/>
        </w:rPr>
        <w:t xml:space="preserve">Settlement of Catastrophic Claims.  In the case of a catastrophic occurrence where the loss is so extensive that partial </w:t>
      </w:r>
      <w:r w:rsidR="00C12EE4">
        <w:rPr>
          <w:rFonts w:cs="Arial"/>
        </w:rPr>
        <w:t xml:space="preserve">commercial insurance </w:t>
      </w:r>
      <w:r>
        <w:rPr>
          <w:rFonts w:cs="Arial"/>
        </w:rPr>
        <w:t>payments in excess of $</w:t>
      </w:r>
      <w:r>
        <w:t>1</w:t>
      </w:r>
      <w:r>
        <w:rPr>
          <w:rFonts w:cs="Arial"/>
        </w:rPr>
        <w:t>,000,000 are necessary, the Chancellor is delegated authority to execute all documents related to the partial payment or adjustment.</w:t>
      </w:r>
      <w:r w:rsidR="00EE358D">
        <w:rPr>
          <w:rFonts w:cs="Arial"/>
        </w:rPr>
        <w:t xml:space="preserve"> </w:t>
      </w:r>
      <w:r>
        <w:rPr>
          <w:rFonts w:cs="Arial"/>
        </w:rPr>
        <w:t xml:space="preserve">The Board </w:t>
      </w:r>
      <w:r w:rsidR="003A561B">
        <w:rPr>
          <w:rFonts w:cs="Arial"/>
        </w:rPr>
        <w:t xml:space="preserve">of Regents </w:t>
      </w:r>
      <w:r>
        <w:rPr>
          <w:rFonts w:cs="Arial"/>
        </w:rPr>
        <w:t>will be notified by the Chancellor of all partial payments received in excess of $1,000,000.</w:t>
      </w:r>
      <w:r w:rsidR="00EE358D">
        <w:rPr>
          <w:rFonts w:cs="Arial"/>
        </w:rPr>
        <w:t xml:space="preserve"> </w:t>
      </w:r>
      <w:r>
        <w:rPr>
          <w:rFonts w:cs="Arial"/>
        </w:rPr>
        <w:t xml:space="preserve">Final settlement of </w:t>
      </w:r>
      <w:r w:rsidR="00C12EE4">
        <w:rPr>
          <w:rFonts w:cs="Arial"/>
        </w:rPr>
        <w:t xml:space="preserve">commercial insurance </w:t>
      </w:r>
      <w:r>
        <w:rPr>
          <w:rFonts w:cs="Arial"/>
        </w:rPr>
        <w:t>claims in excess of $1,000,000 will require approval from the Board.</w:t>
      </w:r>
    </w:p>
    <w:p w:rsidR="00C2550F" w:rsidRDefault="00C2550F">
      <w:pPr>
        <w:pStyle w:val="Subdivision"/>
        <w:tabs>
          <w:tab w:val="clear" w:pos="3240"/>
        </w:tabs>
        <w:ind w:left="1800"/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Definitions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pStyle w:val="Subdivision"/>
        <w:tabs>
          <w:tab w:val="clear" w:pos="3240"/>
        </w:tabs>
        <w:ind w:left="720" w:firstLine="0"/>
      </w:pPr>
      <w:r>
        <w:t>None</w:t>
      </w:r>
    </w:p>
    <w:p w:rsidR="00C2550F" w:rsidRDefault="00C2550F" w:rsidP="00232EE0">
      <w:pPr>
        <w:pStyle w:val="Subdivision"/>
        <w:tabs>
          <w:tab w:val="clear" w:pos="3240"/>
        </w:tabs>
        <w:ind w:left="0" w:firstLine="0"/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Relevant Federal and State Statutes</w:t>
      </w:r>
    </w:p>
    <w:p w:rsidR="00C2550F" w:rsidRDefault="00C2550F">
      <w:pPr>
        <w:pStyle w:val="Header"/>
        <w:tabs>
          <w:tab w:val="clear" w:pos="4320"/>
          <w:tab w:val="clear" w:pos="8640"/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pStyle w:val="Header"/>
        <w:tabs>
          <w:tab w:val="clear" w:pos="4320"/>
          <w:tab w:val="clear" w:pos="8640"/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None</w:t>
      </w:r>
    </w:p>
    <w:p w:rsidR="00C2550F" w:rsidRDefault="00C2550F">
      <w:pPr>
        <w:pStyle w:val="Header"/>
        <w:tabs>
          <w:tab w:val="clear" w:pos="4320"/>
          <w:tab w:val="clear" w:pos="8640"/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Relevant System Policies, Procedures, and Forms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:rsidR="00C2550F" w:rsidRDefault="00C2550F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2550F" w:rsidRDefault="00C2550F">
      <w:pPr>
        <w:pStyle w:val="Header"/>
        <w:tabs>
          <w:tab w:val="clear" w:pos="4320"/>
          <w:tab w:val="clear" w:pos="8640"/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Who Should Know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3A561B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Chief B</w:t>
      </w:r>
      <w:r w:rsidR="00C2550F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O</w:t>
      </w:r>
      <w:r w:rsidR="00C2550F">
        <w:rPr>
          <w:rFonts w:ascii="Arial" w:hAnsi="Arial" w:cs="Arial"/>
        </w:rPr>
        <w:t>fficers</w:t>
      </w:r>
    </w:p>
    <w:p w:rsidR="00C2550F" w:rsidRDefault="003A561B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Risk M</w:t>
      </w:r>
      <w:r w:rsidR="00C2550F">
        <w:rPr>
          <w:rFonts w:ascii="Arial" w:hAnsi="Arial" w:cs="Arial"/>
        </w:rPr>
        <w:t>anagers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>System Administration Office(s) Responsible for Rule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Office of </w:t>
      </w:r>
      <w:r w:rsidR="005F6BD1">
        <w:rPr>
          <w:rFonts w:ascii="Arial" w:hAnsi="Arial" w:cs="Arial"/>
        </w:rPr>
        <w:t>Risk Management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3A561B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C2550F">
        <w:rPr>
          <w:rFonts w:ascii="Arial" w:hAnsi="Arial" w:cs="Arial"/>
          <w:b/>
          <w:bCs/>
        </w:rPr>
        <w:t>.</w:t>
      </w:r>
      <w:r w:rsidR="00C2550F">
        <w:rPr>
          <w:rFonts w:ascii="Arial" w:hAnsi="Arial" w:cs="Arial"/>
          <w:b/>
          <w:bCs/>
        </w:rPr>
        <w:tab/>
        <w:t>Dates Approved or Amended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E75B26" w:rsidRDefault="00E75B26" w:rsidP="00E75B26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Editorial amendments made April 20, 2017</w:t>
      </w:r>
    </w:p>
    <w:p w:rsidR="00232EE0" w:rsidRDefault="00232EE0" w:rsidP="00E75B26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Editorial amendment to Section 2 made October 24, 2013</w:t>
      </w:r>
    </w:p>
    <w:p w:rsidR="00A44E50" w:rsidRDefault="00A44E50" w:rsidP="00E75B26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February 10, 2005</w:t>
      </w:r>
    </w:p>
    <w:p w:rsidR="00C2550F" w:rsidRDefault="0049043F" w:rsidP="00E75B26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December 10</w:t>
      </w:r>
      <w:r w:rsidR="00C12EE4">
        <w:rPr>
          <w:rFonts w:ascii="Arial" w:hAnsi="Arial" w:cs="Arial"/>
        </w:rPr>
        <w:t>, 2004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</w:rPr>
      </w:pPr>
    </w:p>
    <w:p w:rsidR="00C2550F" w:rsidRDefault="009514A5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C2550F">
        <w:rPr>
          <w:rFonts w:ascii="Arial" w:hAnsi="Arial" w:cs="Arial"/>
          <w:b/>
          <w:bCs/>
        </w:rPr>
        <w:t>.</w:t>
      </w:r>
      <w:r w:rsidR="00C2550F">
        <w:rPr>
          <w:rFonts w:ascii="Arial" w:hAnsi="Arial" w:cs="Arial"/>
          <w:b/>
          <w:bCs/>
        </w:rPr>
        <w:tab/>
        <w:t>Contact Information</w:t>
      </w:r>
    </w:p>
    <w:p w:rsidR="00C2550F" w:rsidRDefault="00C2550F">
      <w:pPr>
        <w:tabs>
          <w:tab w:val="left" w:pos="720"/>
          <w:tab w:val="left" w:pos="2340"/>
        </w:tabs>
        <w:rPr>
          <w:rFonts w:ascii="Arial" w:hAnsi="Arial" w:cs="Arial"/>
          <w:b/>
          <w:bCs/>
        </w:rPr>
      </w:pPr>
    </w:p>
    <w:p w:rsidR="00C2550F" w:rsidRDefault="00C2550F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Questions or comments regarding this </w:t>
      </w:r>
      <w:r w:rsidR="0012026B">
        <w:rPr>
          <w:rFonts w:ascii="Arial" w:hAnsi="Arial" w:cs="Arial"/>
        </w:rPr>
        <w:t>R</w:t>
      </w:r>
      <w:r>
        <w:rPr>
          <w:rFonts w:ascii="Arial" w:hAnsi="Arial" w:cs="Arial"/>
        </w:rPr>
        <w:t>ule should be directed to:</w:t>
      </w:r>
    </w:p>
    <w:p w:rsidR="00C2550F" w:rsidRDefault="00C2550F">
      <w:pPr>
        <w:tabs>
          <w:tab w:val="left" w:pos="720"/>
          <w:tab w:val="left" w:pos="2340"/>
        </w:tabs>
        <w:ind w:left="720"/>
        <w:rPr>
          <w:rFonts w:ascii="Arial" w:hAnsi="Arial" w:cs="Arial"/>
        </w:rPr>
      </w:pPr>
    </w:p>
    <w:p w:rsidR="00C2550F" w:rsidRDefault="00C2550F">
      <w:pPr>
        <w:numPr>
          <w:ilvl w:val="0"/>
          <w:numId w:val="7"/>
        </w:numPr>
        <w:tabs>
          <w:tab w:val="left" w:pos="720"/>
          <w:tab w:val="left" w:pos="2340"/>
        </w:tabs>
        <w:rPr>
          <w:rFonts w:ascii="Arial" w:hAnsi="Arial" w:cs="Arial"/>
        </w:rPr>
      </w:pPr>
      <w:hyperlink r:id="rId12" w:history="1">
        <w:r>
          <w:rPr>
            <w:rFonts w:ascii="Arial" w:hAnsi="Arial" w:cs="Arial"/>
          </w:rPr>
          <w:t>bor@utsystem.edu</w:t>
        </w:r>
      </w:hyperlink>
    </w:p>
    <w:sectPr w:rsidR="00C2550F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9" w:rsidRDefault="006C3829">
      <w:r>
        <w:separator/>
      </w:r>
    </w:p>
  </w:endnote>
  <w:endnote w:type="continuationSeparator" w:id="0">
    <w:p w:rsidR="006C3829" w:rsidRDefault="006C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0" w:rsidRDefault="00A44E50">
    <w:pPr>
      <w:pStyle w:val="Foo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  <w:u w:val="single"/>
      </w:rPr>
      <w:tab/>
    </w:r>
    <w:r>
      <w:rPr>
        <w:rFonts w:ascii="Arial" w:hAnsi="Arial" w:cs="Arial"/>
        <w:b/>
        <w:bCs/>
        <w:sz w:val="22"/>
      </w:rPr>
      <w:tab/>
    </w:r>
  </w:p>
  <w:p w:rsidR="00A44E50" w:rsidRDefault="00A44E50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</w:rPr>
      <w:t xml:space="preserve">Page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PAGE </w:instrText>
    </w:r>
    <w:r>
      <w:rPr>
        <w:rStyle w:val="PageNumber"/>
        <w:rFonts w:ascii="Arial" w:hAnsi="Arial" w:cs="Arial"/>
        <w:b/>
        <w:bCs/>
      </w:rPr>
      <w:fldChar w:fldCharType="separate"/>
    </w:r>
    <w:r w:rsidR="00DF157A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  <w:r>
      <w:rPr>
        <w:rStyle w:val="PageNumber"/>
        <w:rFonts w:ascii="Arial" w:hAnsi="Arial" w:cs="Arial"/>
        <w:b/>
        <w:bCs/>
      </w:rPr>
      <w:t xml:space="preserve"> of </w:t>
    </w: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 NUMPAGES </w:instrText>
    </w:r>
    <w:r>
      <w:rPr>
        <w:rStyle w:val="PageNumber"/>
        <w:rFonts w:ascii="Arial" w:hAnsi="Arial" w:cs="Arial"/>
        <w:b/>
        <w:bCs/>
      </w:rPr>
      <w:fldChar w:fldCharType="separate"/>
    </w:r>
    <w:r w:rsidR="00DF157A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9" w:rsidRDefault="006C3829">
      <w:r>
        <w:separator/>
      </w:r>
    </w:p>
  </w:footnote>
  <w:footnote w:type="continuationSeparator" w:id="0">
    <w:p w:rsidR="006C3829" w:rsidRDefault="006C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0" w:rsidRDefault="00A44E50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</w:rPr>
          <w:t>University</w:t>
        </w:r>
      </w:smartTag>
      <w:r>
        <w:rPr>
          <w:rFonts w:ascii="Arial" w:hAnsi="Arial" w:cs="Arial"/>
          <w:b/>
          <w:bCs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Texas</w:t>
        </w:r>
      </w:smartTag>
    </w:smartTag>
    <w:r>
      <w:rPr>
        <w:rFonts w:ascii="Arial" w:hAnsi="Arial" w:cs="Arial"/>
        <w:b/>
        <w:bCs/>
      </w:rPr>
      <w:t xml:space="preserve"> System</w:t>
    </w:r>
  </w:p>
  <w:p w:rsidR="00A44E50" w:rsidRDefault="00A44E50">
    <w:pPr>
      <w:pStyle w:val="Head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Rules and Regulations of the Board of Regents</w:t>
    </w:r>
    <w:r>
      <w:rPr>
        <w:rFonts w:ascii="Arial" w:hAnsi="Arial" w:cs="Arial"/>
        <w:b/>
        <w:bCs/>
        <w:u w:val="single"/>
      </w:rPr>
      <w:tab/>
    </w:r>
    <w:r w:rsidR="00786663">
      <w:rPr>
        <w:rFonts w:ascii="Arial" w:hAnsi="Arial" w:cs="Arial"/>
        <w:b/>
        <w:bCs/>
        <w:u w:val="single"/>
      </w:rPr>
      <w:t>Rule</w:t>
    </w:r>
    <w:r>
      <w:rPr>
        <w:rFonts w:ascii="Arial" w:hAnsi="Arial" w:cs="Arial"/>
        <w:b/>
        <w:bCs/>
        <w:u w:val="single"/>
      </w:rPr>
      <w:t>: 80601</w:t>
    </w:r>
  </w:p>
  <w:p w:rsidR="00A44E50" w:rsidRDefault="00A44E50">
    <w:pPr>
      <w:pStyle w:val="Header"/>
      <w:rPr>
        <w:rFonts w:ascii="Arial" w:hAnsi="Arial" w:cs="Arial"/>
        <w:b/>
        <w:bCs/>
        <w:u w:val="single"/>
      </w:rPr>
    </w:pPr>
  </w:p>
  <w:p w:rsidR="00A44E50" w:rsidRDefault="00A44E50">
    <w:pPr>
      <w:pStyle w:val="Header"/>
      <w:rPr>
        <w:rFonts w:ascii="Arial" w:hAnsi="Arial" w:cs="Arial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908"/>
    <w:multiLevelType w:val="multilevel"/>
    <w:tmpl w:val="3F9A56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">
    <w:nsid w:val="27A10F47"/>
    <w:multiLevelType w:val="hybridMultilevel"/>
    <w:tmpl w:val="7CA2DB5C"/>
    <w:lvl w:ilvl="0" w:tplc="6824C2D8">
      <w:start w:val="4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28A33D70"/>
    <w:multiLevelType w:val="hybridMultilevel"/>
    <w:tmpl w:val="6D664D18"/>
    <w:lvl w:ilvl="0" w:tplc="80C68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3">
    <w:nsid w:val="36592358"/>
    <w:multiLevelType w:val="hybridMultilevel"/>
    <w:tmpl w:val="588AF9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F041CF"/>
    <w:multiLevelType w:val="hybridMultilevel"/>
    <w:tmpl w:val="EB84C94A"/>
    <w:lvl w:ilvl="0" w:tplc="80C68C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abstractNum w:abstractNumId="5">
    <w:nsid w:val="40D16467"/>
    <w:multiLevelType w:val="hybridMultilevel"/>
    <w:tmpl w:val="2B466E02"/>
    <w:lvl w:ilvl="0" w:tplc="973C7EC8">
      <w:start w:val="1"/>
      <w:numFmt w:val="decimal"/>
      <w:lvlText w:val="%1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3926ED"/>
    <w:multiLevelType w:val="hybridMultilevel"/>
    <w:tmpl w:val="0B0623D2"/>
    <w:lvl w:ilvl="0" w:tplc="4A2E5144">
      <w:start w:val="4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74EC59CD"/>
    <w:multiLevelType w:val="hybridMultilevel"/>
    <w:tmpl w:val="94981B3C"/>
    <w:lvl w:ilvl="0" w:tplc="80C68C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1B"/>
    <w:rsid w:val="00095755"/>
    <w:rsid w:val="0012026B"/>
    <w:rsid w:val="00132471"/>
    <w:rsid w:val="00174288"/>
    <w:rsid w:val="001B6B0E"/>
    <w:rsid w:val="00232EE0"/>
    <w:rsid w:val="00281A7C"/>
    <w:rsid w:val="002E20DE"/>
    <w:rsid w:val="00376644"/>
    <w:rsid w:val="003A561B"/>
    <w:rsid w:val="004622FE"/>
    <w:rsid w:val="0049043F"/>
    <w:rsid w:val="004C37BE"/>
    <w:rsid w:val="005F6BD1"/>
    <w:rsid w:val="00627DD1"/>
    <w:rsid w:val="0066259F"/>
    <w:rsid w:val="006C3829"/>
    <w:rsid w:val="00732EDF"/>
    <w:rsid w:val="0076276E"/>
    <w:rsid w:val="00766018"/>
    <w:rsid w:val="00786663"/>
    <w:rsid w:val="007E157A"/>
    <w:rsid w:val="008419D6"/>
    <w:rsid w:val="00853BCF"/>
    <w:rsid w:val="00891863"/>
    <w:rsid w:val="009514A5"/>
    <w:rsid w:val="00A44E50"/>
    <w:rsid w:val="00B23A1D"/>
    <w:rsid w:val="00B56BAD"/>
    <w:rsid w:val="00BF7C32"/>
    <w:rsid w:val="00C12EE4"/>
    <w:rsid w:val="00C16447"/>
    <w:rsid w:val="00C2550F"/>
    <w:rsid w:val="00C97ED2"/>
    <w:rsid w:val="00D04A02"/>
    <w:rsid w:val="00D73463"/>
    <w:rsid w:val="00DF157A"/>
    <w:rsid w:val="00DF1EC5"/>
    <w:rsid w:val="00E75B26"/>
    <w:rsid w:val="00EE358D"/>
    <w:rsid w:val="00EE38D4"/>
    <w:rsid w:val="00F728CC"/>
    <w:rsid w:val="00F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0C366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tem">
    <w:name w:val="Item"/>
    <w:basedOn w:val="Normal"/>
    <w:pPr>
      <w:ind w:left="4320" w:hanging="1080"/>
    </w:pPr>
    <w:rPr>
      <w:rFonts w:ascii="Arial" w:hAnsi="Arial"/>
      <w:szCs w:val="20"/>
    </w:rPr>
  </w:style>
  <w:style w:type="paragraph" w:customStyle="1" w:styleId="SubsectionText">
    <w:name w:val="Subsection Text"/>
    <w:basedOn w:val="Normal"/>
    <w:pPr>
      <w:ind w:left="2160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ectionTitle">
    <w:name w:val="Section Title"/>
    <w:autoRedefine/>
    <w:rPr>
      <w:u w:val="single"/>
    </w:rPr>
  </w:style>
  <w:style w:type="paragraph" w:customStyle="1" w:styleId="Subdivision">
    <w:name w:val="Subdivision"/>
    <w:basedOn w:val="SubsectionText"/>
    <w:pPr>
      <w:tabs>
        <w:tab w:val="left" w:pos="3240"/>
      </w:tabs>
      <w:ind w:left="3240" w:hanging="1080"/>
    </w:pPr>
  </w:style>
  <w:style w:type="paragraph" w:customStyle="1" w:styleId="SubdivisionText">
    <w:name w:val="Subdivision Text"/>
    <w:basedOn w:val="SubsectionText"/>
    <w:pPr>
      <w:tabs>
        <w:tab w:val="left" w:pos="4320"/>
      </w:tabs>
      <w:ind w:left="3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ind w:left="540" w:hanging="540"/>
    </w:pPr>
    <w:rPr>
      <w:rFonts w:ascii="Arial" w:hAnsi="Arial"/>
      <w:sz w:val="20"/>
      <w:szCs w:val="20"/>
    </w:rPr>
  </w:style>
  <w:style w:type="paragraph" w:customStyle="1" w:styleId="SubsectionHeading">
    <w:name w:val="Subsection  Heading"/>
    <w:basedOn w:val="Normal"/>
    <w:pPr>
      <w:ind w:left="1440"/>
      <w:outlineLvl w:val="2"/>
    </w:pPr>
    <w:rPr>
      <w:rFonts w:ascii="Arial" w:hAnsi="Arial"/>
      <w:szCs w:val="20"/>
    </w:rPr>
  </w:style>
  <w:style w:type="paragraph" w:customStyle="1" w:styleId="SectionText">
    <w:name w:val="Section Text"/>
    <w:basedOn w:val="Normal"/>
    <w:pPr>
      <w:ind w:left="1440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800" w:hanging="1080"/>
    </w:pPr>
    <w:rPr>
      <w:rFonts w:ascii="Arial" w:eastAsia="MS Mincho" w:hAnsi="Arial" w:cs="Arial"/>
    </w:rPr>
  </w:style>
  <w:style w:type="paragraph" w:styleId="BalloonText">
    <w:name w:val="Balloon Text"/>
    <w:basedOn w:val="Normal"/>
    <w:semiHidden/>
    <w:rsid w:val="0017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tem">
    <w:name w:val="Item"/>
    <w:basedOn w:val="Normal"/>
    <w:pPr>
      <w:ind w:left="4320" w:hanging="1080"/>
    </w:pPr>
    <w:rPr>
      <w:rFonts w:ascii="Arial" w:hAnsi="Arial"/>
      <w:szCs w:val="20"/>
    </w:rPr>
  </w:style>
  <w:style w:type="paragraph" w:customStyle="1" w:styleId="SubsectionText">
    <w:name w:val="Subsection Text"/>
    <w:basedOn w:val="Normal"/>
    <w:pPr>
      <w:ind w:left="2160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ectionTitle">
    <w:name w:val="Section Title"/>
    <w:autoRedefine/>
    <w:rPr>
      <w:u w:val="single"/>
    </w:rPr>
  </w:style>
  <w:style w:type="paragraph" w:customStyle="1" w:styleId="Subdivision">
    <w:name w:val="Subdivision"/>
    <w:basedOn w:val="SubsectionText"/>
    <w:pPr>
      <w:tabs>
        <w:tab w:val="left" w:pos="3240"/>
      </w:tabs>
      <w:ind w:left="3240" w:hanging="1080"/>
    </w:pPr>
  </w:style>
  <w:style w:type="paragraph" w:customStyle="1" w:styleId="SubdivisionText">
    <w:name w:val="Subdivision Text"/>
    <w:basedOn w:val="SubsectionText"/>
    <w:pPr>
      <w:tabs>
        <w:tab w:val="left" w:pos="4320"/>
      </w:tabs>
      <w:ind w:left="3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pPr>
      <w:ind w:left="540" w:hanging="540"/>
    </w:pPr>
    <w:rPr>
      <w:rFonts w:ascii="Arial" w:hAnsi="Arial"/>
      <w:sz w:val="20"/>
      <w:szCs w:val="20"/>
    </w:rPr>
  </w:style>
  <w:style w:type="paragraph" w:customStyle="1" w:styleId="SubsectionHeading">
    <w:name w:val="Subsection  Heading"/>
    <w:basedOn w:val="Normal"/>
    <w:pPr>
      <w:ind w:left="1440"/>
      <w:outlineLvl w:val="2"/>
    </w:pPr>
    <w:rPr>
      <w:rFonts w:ascii="Arial" w:hAnsi="Arial"/>
      <w:szCs w:val="20"/>
    </w:rPr>
  </w:style>
  <w:style w:type="paragraph" w:customStyle="1" w:styleId="SectionText">
    <w:name w:val="Section Text"/>
    <w:basedOn w:val="Normal"/>
    <w:pPr>
      <w:ind w:left="1440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800" w:hanging="1080"/>
    </w:pPr>
    <w:rPr>
      <w:rFonts w:ascii="Arial" w:eastAsia="MS Mincho" w:hAnsi="Arial" w:cs="Arial"/>
    </w:rPr>
  </w:style>
  <w:style w:type="paragraph" w:styleId="BalloonText">
    <w:name w:val="Balloon Text"/>
    <w:basedOn w:val="Normal"/>
    <w:semiHidden/>
    <w:rsid w:val="0017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or@utsystem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CC770C68C734289D785FAB70790DF" ma:contentTypeVersion="0" ma:contentTypeDescription="Create a new document." ma:contentTypeScope="" ma:versionID="61906d8e042cdd86d6b2f64b49541a49">
  <xsd:schema xmlns:xsd="http://www.w3.org/2001/XMLSchema" xmlns:xs="http://www.w3.org/2001/XMLSchema" xmlns:p="http://schemas.microsoft.com/office/2006/metadata/properties" xmlns:ns2="2a3be547-8cf1-486b-8a27-bb82939ee649" targetNamespace="http://schemas.microsoft.com/office/2006/metadata/properties" ma:root="true" ma:fieldsID="879e3c20f450bcbf876bb967e4e4856f" ns2:_="">
    <xsd:import namespace="2a3be547-8cf1-486b-8a27-bb82939ee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e547-8cf1-486b-8a27-bb82939ee6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r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93E43-0EE0-499C-9B4E-835B0B041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e547-8cf1-486b-8a27-bb82939ee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F767-BC67-42A3-824A-48D20D16F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A2BC-8225-40EC-8A19-EB6A8E1AE7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5F15ED-7988-4C70-B81B-D1F9E261C02B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3be547-8cf1-486b-8a27-bb82939ee64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and Casualty Insurance and Surety Bonds </vt:lpstr>
    </vt:vector>
  </TitlesOfParts>
  <Company>UT System Administration</Company>
  <LinksUpToDate>false</LinksUpToDate>
  <CharactersWithSpaces>2422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mailto:bor@utsystem.edu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and Casualty Insurance and Surety Bonds</dc:title>
  <dc:creator>AMART</dc:creator>
  <cp:lastModifiedBy>Holloway, Tina</cp:lastModifiedBy>
  <cp:revision>2</cp:revision>
  <cp:lastPrinted>2017-04-20T13:50:00Z</cp:lastPrinted>
  <dcterms:created xsi:type="dcterms:W3CDTF">2017-04-20T14:11:00Z</dcterms:created>
  <dcterms:modified xsi:type="dcterms:W3CDTF">2017-04-20T14:11:00Z</dcterms:modified>
</cp:coreProperties>
</file>