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B7" w:rsidRDefault="0071432E" w:rsidP="007143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University of Texas System</w:t>
      </w:r>
    </w:p>
    <w:p w:rsidR="0071432E" w:rsidRDefault="0071432E" w:rsidP="007143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Advisory Council</w:t>
      </w:r>
    </w:p>
    <w:p w:rsidR="0071432E" w:rsidRDefault="0071432E" w:rsidP="007143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Resolutions</w:t>
      </w:r>
    </w:p>
    <w:p w:rsidR="0071432E" w:rsidRDefault="0071432E" w:rsidP="007143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71432E" w:rsidRDefault="0071432E" w:rsidP="0071432E">
      <w:pPr>
        <w:spacing w:after="0" w:line="240" w:lineRule="auto"/>
        <w:jc w:val="center"/>
        <w:rPr>
          <w:rFonts w:ascii="Times New Roman" w:hAnsi="Times New Roman" w:cs="Times New Roman"/>
          <w:b/>
          <w:sz w:val="24"/>
          <w:szCs w:val="24"/>
        </w:rPr>
      </w:pPr>
    </w:p>
    <w:p w:rsidR="0071432E" w:rsidRPr="0071432E" w:rsidRDefault="0071432E" w:rsidP="0071432E">
      <w:pPr>
        <w:spacing w:after="0" w:line="240" w:lineRule="auto"/>
        <w:rPr>
          <w:rFonts w:ascii="Times New Roman" w:hAnsi="Times New Roman" w:cs="Times New Roman"/>
          <w:b/>
          <w:sz w:val="24"/>
          <w:szCs w:val="24"/>
        </w:rPr>
      </w:pPr>
      <w:r w:rsidRPr="0071432E">
        <w:rPr>
          <w:rFonts w:ascii="Times New Roman" w:hAnsi="Times New Roman" w:cs="Times New Roman"/>
          <w:b/>
          <w:sz w:val="24"/>
          <w:szCs w:val="24"/>
        </w:rPr>
        <w:t>January 2015</w:t>
      </w:r>
    </w:p>
    <w:p w:rsid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UT System campus governance organizations should be aware of their powers and responsibilities as assigned by tradition and recognized in accrediting standards and UT system rules.  The provisions are as follow: </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1.</w:t>
      </w:r>
      <w:r w:rsidRPr="0071432E">
        <w:rPr>
          <w:rFonts w:ascii="Times New Roman" w:hAnsi="Times New Roman" w:cs="Times New Roman"/>
          <w:sz w:val="24"/>
          <w:szCs w:val="24"/>
        </w:rPr>
        <w:tab/>
        <w:t xml:space="preserve">First, the traditional and necessary authority of the faculty is recognized in The University of Texas’s Regents’ Rule 40101, “Faculty Role in Educational Policy Formation.”  This states that “the faculties of the institutions regularly offering instruction shall have a major role in the governance of their respective institutions in the following areas: </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General academic policies and welfare.</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Student life and activities.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Requirements of admission and graduation.</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Honors and scholastic performance.</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Approval of candidates for degrees.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r>
      <w:r w:rsidR="003552DE">
        <w:rPr>
          <w:rFonts w:ascii="Times New Roman" w:hAnsi="Times New Roman" w:cs="Times New Roman"/>
          <w:sz w:val="24"/>
          <w:szCs w:val="24"/>
        </w:rPr>
        <w:t>Faculty rules of procedure.</w:t>
      </w:r>
    </w:p>
    <w:p w:rsidR="003552DE" w:rsidRDefault="003552D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Second, the Rules recognize that “the faculty” is represented by the elected bodies of the faculty governance organization.   Institutional policies should be in the institutional Handbook of Operating Procedures.  It follows that the faculty governance organization should have a major role in designing all policies in the Handbook of Operating Procedures under the headings of Regents Rule 40101.  In Regents’ Rule 20201, </w:t>
      </w:r>
      <w:proofErr w:type="gramStart"/>
      <w:r w:rsidRPr="0071432E">
        <w:rPr>
          <w:rFonts w:ascii="Times New Roman" w:hAnsi="Times New Roman" w:cs="Times New Roman"/>
          <w:sz w:val="24"/>
          <w:szCs w:val="24"/>
        </w:rPr>
        <w:t>responsibility to assure that such policies are reviewed by the governance body are</w:t>
      </w:r>
      <w:proofErr w:type="gramEnd"/>
      <w:r w:rsidRPr="0071432E">
        <w:rPr>
          <w:rFonts w:ascii="Times New Roman" w:hAnsi="Times New Roman" w:cs="Times New Roman"/>
          <w:sz w:val="24"/>
          <w:szCs w:val="24"/>
        </w:rPr>
        <w:t xml:space="preserve"> assigned to the President of the university.  As follows: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University of Texas’s Regents’ Rule 20201, Section 4.9: </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proofErr w:type="gramStart"/>
      <w:r w:rsidRPr="0071432E">
        <w:rPr>
          <w:rFonts w:ascii="Times New Roman" w:hAnsi="Times New Roman" w:cs="Times New Roman"/>
          <w:sz w:val="24"/>
          <w:szCs w:val="24"/>
        </w:rPr>
        <w:t>a</w:t>
      </w:r>
      <w:proofErr w:type="gramEnd"/>
      <w:r w:rsidRPr="0071432E">
        <w:rPr>
          <w:rFonts w:ascii="Times New Roman" w:hAnsi="Times New Roman" w:cs="Times New Roman"/>
          <w:sz w:val="24"/>
          <w:szCs w:val="24"/>
        </w:rPr>
        <w:t xml:space="preserve">) Input from the faculty, staff, and student governance bodies for the institution will be sought for all significant changes to an institution’s Handbook of Operating Procedures. The institutional Handbook of Operating Procedures will include a policy for obtaining this input that is in accordance with a model policy developed by the Office of General Counsel. </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(b) Sections of the Handbook of Operating Procedures that pertain to the areas of faculty responsibility as defined in Regents’ Rules and Regulations, Rule 40101 titled Faculty Role in Educational Policy Formulation will be explicitly designated in the Handbook of Operating Procedures. The president, with the faculty governance body of the campus, shall develop procedures to assure formal review by the faculty governance body before such sections are submitted for approval. The formal review should be done within a reasonable timeframe (60 days or less).”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In addition, the accreditation standards of the Southern Association of Colleges and schools and Liaison Committee on Medical Education place great emphasis on the importance of faculty </w:t>
      </w:r>
      <w:r w:rsidRPr="0071432E">
        <w:rPr>
          <w:rFonts w:ascii="Times New Roman" w:hAnsi="Times New Roman" w:cs="Times New Roman"/>
          <w:sz w:val="24"/>
          <w:szCs w:val="24"/>
        </w:rPr>
        <w:lastRenderedPageBreak/>
        <w:t xml:space="preserve">governance involvement in establishing academic policies. For UT campuses, this necessarily would mean involvement of the faculty governance organization: </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2. SACS/COC standards related to faculty governance:</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“3.2.6 There is a clear and appropriate distinction, in writing and practice, between the policy-making functions of the governing board and the responsibility of the administration and faculty to administer and implement policy. (Board/administration distinction)</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3.2.7 The institution has a clearly defined and published organizational structure that delineates responsibility for the administration of policies. (Organizational structure)”</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“3.4.1 The institution demonstrates that each educational program for which academic credit is awarded is approved by the faculty and the administration. (Academic program approval)”</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“3.4.10 </w:t>
      </w:r>
      <w:proofErr w:type="gramStart"/>
      <w:r w:rsidRPr="0071432E">
        <w:rPr>
          <w:rFonts w:ascii="Times New Roman" w:hAnsi="Times New Roman" w:cs="Times New Roman"/>
          <w:sz w:val="24"/>
          <w:szCs w:val="24"/>
        </w:rPr>
        <w:t>The</w:t>
      </w:r>
      <w:proofErr w:type="gramEnd"/>
      <w:r w:rsidRPr="0071432E">
        <w:rPr>
          <w:rFonts w:ascii="Times New Roman" w:hAnsi="Times New Roman" w:cs="Times New Roman"/>
          <w:sz w:val="24"/>
          <w:szCs w:val="24"/>
        </w:rPr>
        <w:t xml:space="preserve"> institution places primary responsibility for the content, quality, and effectiveness of the curriculum with its faculty. (Responsibility for curriculum)”</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3. LCME standards related to faculty governance:</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“1.3 Mechanisms for Faculty Participation</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A medical school ensures that there are effective mechanisms in place for direct faculty participation in decision-making related to the medical education program, including opportunities for faculty participation in discussions about, and the establishment of, policies and procedures for the program, as appropriate.”  </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“2.6 Functional Integration of the Faculty</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At a medical school with one or more geographically distributed campuses, the </w:t>
      </w:r>
      <w:proofErr w:type="gramStart"/>
      <w:r w:rsidRPr="0071432E">
        <w:rPr>
          <w:rFonts w:ascii="Times New Roman" w:hAnsi="Times New Roman" w:cs="Times New Roman"/>
          <w:sz w:val="24"/>
          <w:szCs w:val="24"/>
        </w:rPr>
        <w:t>faculty at the departmental and medical school levels at each campus are</w:t>
      </w:r>
      <w:proofErr w:type="gramEnd"/>
      <w:r w:rsidRPr="0071432E">
        <w:rPr>
          <w:rFonts w:ascii="Times New Roman" w:hAnsi="Times New Roman" w:cs="Times New Roman"/>
          <w:sz w:val="24"/>
          <w:szCs w:val="24"/>
        </w:rPr>
        <w:t xml:space="preserve"> functionally integrated by appropriate administrative mechanisms (e.g., regular meetings and/or communication, periodic visits, participation in shared governance, and data sharing).”</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“4.6 Faculty/Dean Responsibility for Educational Program Policies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At a medical school, the dean and a committee of the faculty determine programmatic policies.”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“Standard 6: Competencies, Curricular Objectives, and Curricular Design</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define</w:t>
      </w:r>
      <w:proofErr w:type="gramEnd"/>
      <w:r w:rsidRPr="0071432E">
        <w:rPr>
          <w:rFonts w:ascii="Times New Roman" w:hAnsi="Times New Roman" w:cs="Times New Roman"/>
          <w:sz w:val="24"/>
          <w:szCs w:val="24"/>
        </w:rPr>
        <w:t xml:space="preserve"> the competencies to be achieved by its medical students through medical education program objectives and is responsible for the detailed design and implementation of the components of a medical curriculum that enables its medical students to achieve those competencies and objectives. The medical education program objectives are statements of the knowledge, skills, behaviors, and attitudes that medical students are expected to exhibit as evidence of their achievement by completion of the program. </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6.1 Format/Dissemination of Medical Education Program Objectives and Learning Objectives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define</w:t>
      </w:r>
      <w:proofErr w:type="gramEnd"/>
      <w:r w:rsidRPr="0071432E">
        <w:rPr>
          <w:rFonts w:ascii="Times New Roman" w:hAnsi="Times New Roman" w:cs="Times New Roman"/>
          <w:sz w:val="24"/>
          <w:szCs w:val="24"/>
        </w:rPr>
        <w:t xml:space="preserv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faculty, residents, and others with responsibility for medical student education and assessment. In addition, the </w:t>
      </w:r>
      <w:r w:rsidRPr="0071432E">
        <w:rPr>
          <w:rFonts w:ascii="Times New Roman" w:hAnsi="Times New Roman" w:cs="Times New Roman"/>
          <w:sz w:val="24"/>
          <w:szCs w:val="24"/>
        </w:rPr>
        <w:lastRenderedPageBreak/>
        <w:t xml:space="preserve">medical school ensures that the learning objectives for each required learning experience (e.g., course, clerkship) are made known to all medical students and </w:t>
      </w:r>
      <w:proofErr w:type="gramStart"/>
      <w:r w:rsidRPr="0071432E">
        <w:rPr>
          <w:rFonts w:ascii="Times New Roman" w:hAnsi="Times New Roman" w:cs="Times New Roman"/>
          <w:sz w:val="24"/>
          <w:szCs w:val="24"/>
        </w:rPr>
        <w:t>those faculty</w:t>
      </w:r>
      <w:proofErr w:type="gramEnd"/>
      <w:r w:rsidRPr="0071432E">
        <w:rPr>
          <w:rFonts w:ascii="Times New Roman" w:hAnsi="Times New Roman" w:cs="Times New Roman"/>
          <w:sz w:val="24"/>
          <w:szCs w:val="24"/>
        </w:rPr>
        <w:t xml:space="preserve">, residents, and others with teaching and assessment responsibilities in those required experiences.   </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6.2 Required Clinical Experiences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define</w:t>
      </w:r>
      <w:proofErr w:type="gramEnd"/>
      <w:r w:rsidRPr="0071432E">
        <w:rPr>
          <w:rFonts w:ascii="Times New Roman" w:hAnsi="Times New Roman" w:cs="Times New Roman"/>
          <w:sz w:val="24"/>
          <w:szCs w:val="24"/>
        </w:rPr>
        <w:t xml:space="preserve"> the types of patients and clinical conditions that medical students are required to encounter, the skills to be performed by medical students, the appropriate clinical settings for these experiences, and the expected levels of medical student responsibility.</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6.3 Self-Directed and Life-Long Learning</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the medical curriculum includes self-directed learning experiences and time for independent study to allow medical students to develop the skills of lifelong learning. Self-directed learning involves medical students’ self-assessment of learning needs; independent identification, analysis, and synthesis of relevant information; and appraisal of the credibility of information sources.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6.4 Inpatient/Outpatient Experiences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The faculty of a medical school ensure that the medical curriculum includes clinical experiences in both outpatient and inpatient settings.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6.5 Elective Opportunities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The faculty of a medical school ensure that the medical curriculum includes elective opportunities that supplement required learning experiences and that permit medical students to gain exposure to and deepen their understanding of medical specialties reflecting their career interests and to pursue their individual academic interests.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6.6 Service-Learning</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the medical education program provides sufficient opportunities for, encourages, and supports medical student participation in service-learning and community service activities.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6.7 Academic Environments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6.8 Education Program Duration</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A medical education program includes at least 130 weeks of instruction.</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Standard 7: Curricular Content </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the medical curriculum provides content of sufficient breadth and depth to prepare medical students for entry into any residency program and for the subsequent contemporary practice of medicine. </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lastRenderedPageBreak/>
        <w:t>7.1 Biomedical, Behavioral, Social Sciences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the medical curriculum includes content from the biomedical, behavioral, and socioeconomic sciences to support medical students' mastery of contemporary scientific knowledge and concepts and the methods fundamental to applying them to the health of individuals and populations.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7.2 Organ Systems/Life Cycle/Primary Care/Prevention/Wellness/Symptoms/ Signs/ Differential Diagnosis, Treatment Planning, Impact of Behavioral/Social Factors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The faculty of a medical school ensure that the medical curriculum includes content and clinical experiences related to each organ system; each phase of the human life cycle; continuity of care; and preventive, acute, chronic, rehabilitative, end-of-life, and primary care in order to prepare students to:</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B74D26">
      <w:pPr>
        <w:spacing w:after="0" w:line="240" w:lineRule="auto"/>
        <w:ind w:left="720"/>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Recognize wellness, determinants of health, and opportunities for health promotion and disease prevention.</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B74D26">
      <w:pPr>
        <w:spacing w:after="0" w:line="240" w:lineRule="auto"/>
        <w:ind w:left="720"/>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Recognize and interpret symptoms and signs of disease.</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B74D26">
      <w:pPr>
        <w:spacing w:after="0" w:line="240" w:lineRule="auto"/>
        <w:ind w:left="720"/>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Develop differential diagnoses and treatment plans.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B74D26">
      <w:pPr>
        <w:spacing w:after="0" w:line="240" w:lineRule="auto"/>
        <w:ind w:left="720"/>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Recognize the potential health-related impact on patients of behavioral and socioeconomic factors.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B74D26">
      <w:pPr>
        <w:spacing w:after="0" w:line="240" w:lineRule="auto"/>
        <w:ind w:left="720"/>
        <w:rPr>
          <w:rFonts w:ascii="Times New Roman" w:hAnsi="Times New Roman" w:cs="Times New Roman"/>
          <w:sz w:val="24"/>
          <w:szCs w:val="24"/>
        </w:rPr>
      </w:pPr>
      <w:bookmarkStart w:id="0" w:name="_GoBack"/>
      <w:bookmarkEnd w:id="0"/>
      <w:r w:rsidRPr="0071432E">
        <w:rPr>
          <w:rFonts w:ascii="Times New Roman" w:hAnsi="Times New Roman" w:cs="Times New Roman"/>
          <w:sz w:val="24"/>
          <w:szCs w:val="24"/>
        </w:rPr>
        <w:t>•</w:t>
      </w:r>
      <w:r w:rsidRPr="0071432E">
        <w:rPr>
          <w:rFonts w:ascii="Times New Roman" w:hAnsi="Times New Roman" w:cs="Times New Roman"/>
          <w:sz w:val="24"/>
          <w:szCs w:val="24"/>
        </w:rPr>
        <w:tab/>
        <w:t>Assist patients in addressing health-related issues involving all organ systems.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7.3 Scientific Method/Clinical/Translational Research</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The faculty of a medical school ensure that the medical curriculum includes instruction in the scientific method (including hands-on or simulated exercises in which medical students collect or use data to test and/or verify hypotheses or address questions about biomedical phenomena) and in the basic scientific and ethical principles of clinical and translational research (including the ways in which such research is conducted, evaluated, explained to patients, and applied to patient care).</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7.4 Critical Judgment/Problem-Solving Skills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7.5 Societal Problems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the medical curriculum includes instruction in the diagnosis, prevention, appropriate reporting, and treatment of the medical consequences of common societal problems.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7.6 Cultural Competence/Health Care Disparities/Personal Bias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lastRenderedPageBreak/>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the medical curriculum provides opportunities for medical students to learn to recognize and appropriately address gender and cultural biases in themselves, in others, and in the health care delivery process. The medical curriculum includes instruction regarding:</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 xml:space="preserve">The manner in which people of diverse cultures and belief systems perceive health and illness and respond to various symptoms, diseases, and treatments.       </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    </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The basic principles of culturally competent health care.</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The recognition and development of solutions for health care disparities.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 xml:space="preserve">The importance of meeting the health care needs </w:t>
      </w:r>
      <w:proofErr w:type="gramStart"/>
      <w:r w:rsidRPr="0071432E">
        <w:rPr>
          <w:rFonts w:ascii="Times New Roman" w:hAnsi="Times New Roman" w:cs="Times New Roman"/>
          <w:sz w:val="24"/>
          <w:szCs w:val="24"/>
        </w:rPr>
        <w:t>of</w:t>
      </w:r>
      <w:proofErr w:type="gramEnd"/>
      <w:r w:rsidRPr="0071432E">
        <w:rPr>
          <w:rFonts w:ascii="Times New Roman" w:hAnsi="Times New Roman" w:cs="Times New Roman"/>
          <w:sz w:val="24"/>
          <w:szCs w:val="24"/>
        </w:rPr>
        <w:t xml:space="preserve"> medically underserved populations.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w:t>
      </w:r>
      <w:r w:rsidRPr="0071432E">
        <w:rPr>
          <w:rFonts w:ascii="Times New Roman" w:hAnsi="Times New Roman" w:cs="Times New Roman"/>
          <w:sz w:val="24"/>
          <w:szCs w:val="24"/>
        </w:rPr>
        <w:tab/>
        <w:t xml:space="preserve">The development of core professional attributes (e.g., altruism, accountability) needed to provide effective care in a </w:t>
      </w:r>
      <w:proofErr w:type="spellStart"/>
      <w:r w:rsidRPr="0071432E">
        <w:rPr>
          <w:rFonts w:ascii="Times New Roman" w:hAnsi="Times New Roman" w:cs="Times New Roman"/>
          <w:sz w:val="24"/>
          <w:szCs w:val="24"/>
        </w:rPr>
        <w:t>multidimensionally</w:t>
      </w:r>
      <w:proofErr w:type="spellEnd"/>
      <w:r w:rsidRPr="0071432E">
        <w:rPr>
          <w:rFonts w:ascii="Times New Roman" w:hAnsi="Times New Roman" w:cs="Times New Roman"/>
          <w:sz w:val="24"/>
          <w:szCs w:val="24"/>
        </w:rPr>
        <w:t xml:space="preserve"> diverse society.</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7.7 </w:t>
      </w:r>
      <w:r w:rsidRPr="0071432E">
        <w:rPr>
          <w:rFonts w:ascii="Times New Roman" w:hAnsi="Times New Roman" w:cs="Times New Roman"/>
          <w:sz w:val="24"/>
          <w:szCs w:val="24"/>
        </w:rPr>
        <w:tab/>
        <w:t>Medical Ethics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faculty of a medical school ensure that the medical curriculum includes instruction for medical students in medical ethics and human values both prior to and during their participation in patient care activities and requires its medical students to behave ethically in caring for patients and in relating to patients' families and others involved in patient care. </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7.8 Communication Skills</w:t>
      </w: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the medical curriculum includes specific instruction in communication skills as they relate to communication with patients and their families, colleagues, and other health professionals.</w:t>
      </w:r>
    </w:p>
    <w:p w:rsidR="0071432E" w:rsidRPr="0071432E" w:rsidRDefault="0071432E" w:rsidP="0071432E">
      <w:pPr>
        <w:spacing w:after="0" w:line="240" w:lineRule="auto"/>
        <w:rPr>
          <w:rFonts w:ascii="Times New Roman" w:hAnsi="Times New Roman" w:cs="Times New Roman"/>
          <w:sz w:val="24"/>
          <w:szCs w:val="24"/>
        </w:rPr>
      </w:pPr>
    </w:p>
    <w:p w:rsidR="0071432E" w:rsidRP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7.9 </w:t>
      </w:r>
      <w:proofErr w:type="spellStart"/>
      <w:r w:rsidRPr="0071432E">
        <w:rPr>
          <w:rFonts w:ascii="Times New Roman" w:hAnsi="Times New Roman" w:cs="Times New Roman"/>
          <w:sz w:val="24"/>
          <w:szCs w:val="24"/>
        </w:rPr>
        <w:t>Interprofessional</w:t>
      </w:r>
      <w:proofErr w:type="spellEnd"/>
      <w:r w:rsidRPr="0071432E">
        <w:rPr>
          <w:rFonts w:ascii="Times New Roman" w:hAnsi="Times New Roman" w:cs="Times New Roman"/>
          <w:sz w:val="24"/>
          <w:szCs w:val="24"/>
        </w:rPr>
        <w:t xml:space="preserve"> Collaborative Skills</w:t>
      </w:r>
    </w:p>
    <w:p w:rsidR="0071432E" w:rsidRDefault="0071432E" w:rsidP="0071432E">
      <w:pPr>
        <w:spacing w:after="0" w:line="240" w:lineRule="auto"/>
        <w:rPr>
          <w:rFonts w:ascii="Times New Roman" w:hAnsi="Times New Roman" w:cs="Times New Roman"/>
          <w:sz w:val="24"/>
          <w:szCs w:val="24"/>
        </w:rPr>
      </w:pPr>
      <w:r w:rsidRPr="0071432E">
        <w:rPr>
          <w:rFonts w:ascii="Times New Roman" w:hAnsi="Times New Roman" w:cs="Times New Roman"/>
          <w:sz w:val="24"/>
          <w:szCs w:val="24"/>
        </w:rPr>
        <w:t xml:space="preserve">The </w:t>
      </w:r>
      <w:proofErr w:type="gramStart"/>
      <w:r w:rsidRPr="0071432E">
        <w:rPr>
          <w:rFonts w:ascii="Times New Roman" w:hAnsi="Times New Roman" w:cs="Times New Roman"/>
          <w:sz w:val="24"/>
          <w:szCs w:val="24"/>
        </w:rPr>
        <w:t>faculty of a medical school ensure</w:t>
      </w:r>
      <w:proofErr w:type="gramEnd"/>
      <w:r w:rsidRPr="0071432E">
        <w:rPr>
          <w:rFonts w:ascii="Times New Roman" w:hAnsi="Times New Roman" w:cs="Times New Roman"/>
          <w:sz w:val="24"/>
          <w:szCs w:val="24"/>
        </w:rPr>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rsidR="005F47A3" w:rsidRDefault="005F47A3" w:rsidP="0071432E">
      <w:pPr>
        <w:spacing w:after="0" w:line="240" w:lineRule="auto"/>
        <w:rPr>
          <w:rFonts w:ascii="Times New Roman" w:hAnsi="Times New Roman" w:cs="Times New Roman"/>
          <w:sz w:val="24"/>
          <w:szCs w:val="24"/>
        </w:rPr>
      </w:pPr>
    </w:p>
    <w:p w:rsidR="005F47A3" w:rsidRDefault="005F47A3" w:rsidP="0071432E">
      <w:pPr>
        <w:spacing w:after="0" w:line="240" w:lineRule="auto"/>
        <w:rPr>
          <w:rFonts w:ascii="Times New Roman" w:hAnsi="Times New Roman" w:cs="Times New Roman"/>
          <w:sz w:val="24"/>
          <w:szCs w:val="24"/>
        </w:rPr>
      </w:pPr>
      <w:r w:rsidRPr="005F47A3">
        <w:rPr>
          <w:rFonts w:ascii="Times New Roman" w:hAnsi="Times New Roman" w:cs="Times New Roman"/>
          <w:b/>
          <w:sz w:val="24"/>
          <w:szCs w:val="24"/>
        </w:rPr>
        <w:t>April 2015</w:t>
      </w:r>
    </w:p>
    <w:p w:rsidR="005F47A3" w:rsidRDefault="005F47A3" w:rsidP="0071432E">
      <w:pPr>
        <w:spacing w:after="0" w:line="240" w:lineRule="auto"/>
        <w:rPr>
          <w:rFonts w:ascii="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Resolutions</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 xml:space="preserve">Academic Affairs </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1. Resolution: People Soft</w:t>
      </w: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Date: 4.17.15</w:t>
      </w: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Past: Unanimously</w:t>
      </w: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Send to: Chancellor and EVC’s</w:t>
      </w:r>
    </w:p>
    <w:p w:rsid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b/>
          <w:sz w:val="24"/>
          <w:szCs w:val="24"/>
        </w:rPr>
      </w:pPr>
      <w:r w:rsidRPr="005F47A3">
        <w:rPr>
          <w:rFonts w:ascii="Times New Roman" w:eastAsia="Times New Roman" w:hAnsi="Times New Roman" w:cs="Times New Roman"/>
          <w:b/>
          <w:sz w:val="24"/>
          <w:szCs w:val="24"/>
        </w:rPr>
        <w:t>Faculty Advisory Council Academic Affairs and Faculty Quality Committee Statement on PeopleSoft Implementation and Utilization:</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 xml:space="preserve">It is widely observed that the implementation and utilization of PeopleSoft has been deeply problematic across the University of Texas System and is seriously hindering our ability to advise, retain, and graduate students. The Faculty Advisory Council strongly supports increased personnel and financial support to ensure that this process flows smoothly, transparently, and effectively. </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 xml:space="preserve">Academic Affairs </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2. Resolution: Curriculum and Academic Programs Adherence to HOP</w:t>
      </w: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Date: 4.17.15</w:t>
      </w:r>
    </w:p>
    <w:p w:rsidR="005F47A3" w:rsidRPr="005F47A3" w:rsidRDefault="005F47A3" w:rsidP="005F47A3">
      <w:pPr>
        <w:spacing w:beforeLines="1" w:before="2" w:afterLines="1" w:after="2" w:line="240" w:lineRule="auto"/>
        <w:rPr>
          <w:rFonts w:ascii="Palatino Linotype" w:eastAsia="Cambria" w:hAnsi="Palatino Linotype" w:cs="Times New Roman"/>
          <w:sz w:val="24"/>
          <w:szCs w:val="24"/>
        </w:rPr>
      </w:pPr>
      <w:r w:rsidRPr="005F47A3">
        <w:rPr>
          <w:rFonts w:ascii="Times" w:eastAsia="Cambria" w:hAnsi="Times" w:cs="Times New Roman"/>
          <w:sz w:val="24"/>
          <w:szCs w:val="24"/>
        </w:rPr>
        <w:t xml:space="preserve">Send to: Chancellor, EVC’s, </w:t>
      </w:r>
      <w:proofErr w:type="gramStart"/>
      <w:r w:rsidRPr="005F47A3">
        <w:rPr>
          <w:rFonts w:ascii="Times" w:eastAsia="Cambria" w:hAnsi="Times" w:cs="Times New Roman"/>
          <w:sz w:val="24"/>
          <w:szCs w:val="24"/>
        </w:rPr>
        <w:t>Sharphorn</w:t>
      </w:r>
      <w:proofErr w:type="gramEnd"/>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Past: Unanimously</w:t>
      </w:r>
    </w:p>
    <w:p w:rsidR="005F47A3" w:rsidRPr="005F47A3" w:rsidRDefault="005F47A3" w:rsidP="005F47A3">
      <w:pPr>
        <w:spacing w:beforeLines="1" w:before="2" w:afterLines="1" w:after="2" w:line="240" w:lineRule="auto"/>
        <w:rPr>
          <w:rFonts w:ascii="Palatino Linotype" w:eastAsia="Cambria" w:hAnsi="Palatino Linotype" w:cs="Times New Roman"/>
        </w:rPr>
      </w:pPr>
    </w:p>
    <w:p w:rsidR="005F47A3" w:rsidRPr="005F47A3" w:rsidRDefault="005F47A3" w:rsidP="005F47A3">
      <w:pPr>
        <w:spacing w:beforeLines="1" w:before="2" w:afterLines="1" w:after="2" w:line="240" w:lineRule="auto"/>
        <w:rPr>
          <w:rFonts w:ascii="Palatino Linotype" w:eastAsia="Cambria" w:hAnsi="Palatino Linotype" w:cs="Times New Roman"/>
        </w:rPr>
      </w:pPr>
    </w:p>
    <w:p w:rsidR="005F47A3" w:rsidRPr="005F47A3" w:rsidRDefault="005F47A3" w:rsidP="005F47A3">
      <w:pPr>
        <w:spacing w:after="0" w:line="240" w:lineRule="auto"/>
        <w:rPr>
          <w:rFonts w:ascii="Times New Roman" w:eastAsia="Times New Roman" w:hAnsi="Times New Roman" w:cs="Times New Roman"/>
          <w:b/>
          <w:sz w:val="24"/>
          <w:szCs w:val="24"/>
        </w:rPr>
      </w:pPr>
      <w:r w:rsidRPr="005F47A3">
        <w:rPr>
          <w:rFonts w:ascii="Times New Roman" w:eastAsia="Times New Roman" w:hAnsi="Times New Roman" w:cs="Times New Roman"/>
          <w:b/>
          <w:sz w:val="24"/>
          <w:szCs w:val="24"/>
        </w:rPr>
        <w:t>University of Texas Faculty Advisory Council Academic Affairs and Faculty Quality Committee Statement on Policies and Practices:</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 xml:space="preserve">In the University of Texas System a trend has developed of failure to adhere to operating procedures – particularly those pertaining to curriculum and academic programs - as laid out in institutional HOPs/HOOPs as well as in Regents Rules (See Regents Rules 40101 and 40307 </w:t>
      </w:r>
      <w:r w:rsidRPr="005F47A3">
        <w:rPr>
          <w:rFonts w:ascii="Times New Roman" w:eastAsia="Times New Roman" w:hAnsi="Times New Roman" w:cs="Times New Roman"/>
          <w:i/>
          <w:sz w:val="24"/>
          <w:szCs w:val="24"/>
        </w:rPr>
        <w:t>inter alia</w:t>
      </w:r>
      <w:r w:rsidRPr="005F47A3">
        <w:rPr>
          <w:rFonts w:ascii="Times New Roman" w:eastAsia="Times New Roman" w:hAnsi="Times New Roman" w:cs="Times New Roman"/>
          <w:sz w:val="24"/>
          <w:szCs w:val="24"/>
        </w:rPr>
        <w:t xml:space="preserve">). The Faculty Advisory Council maintains that the operating procedures of the system </w:t>
      </w:r>
      <w:r w:rsidRPr="005F47A3">
        <w:rPr>
          <w:rFonts w:ascii="Times New Roman" w:eastAsia="Times New Roman" w:hAnsi="Times New Roman" w:cs="Calibri"/>
          <w:color w:val="191919"/>
          <w:sz w:val="24"/>
          <w:szCs w:val="32"/>
        </w:rPr>
        <w:t>provide the governing structure for UT System Campuses rather than representing mere best practice suggestions.</w:t>
      </w:r>
      <w:r w:rsidRPr="005F47A3">
        <w:rPr>
          <w:rFonts w:ascii="Times New Roman" w:eastAsia="Times New Roman" w:hAnsi="Times New Roman" w:cs="Times New Roman"/>
          <w:sz w:val="24"/>
          <w:szCs w:val="24"/>
        </w:rPr>
        <w:t xml:space="preserve"> Anything less lends itself to capricious and unpredictable governance. On academic, curricular, clinical affairs, and faculty affairs faculty shall always play a central role in developing and maintaining policy. HOP/HOOP policy must be in line with current </w:t>
      </w:r>
      <w:proofErr w:type="gramStart"/>
      <w:r w:rsidRPr="005F47A3">
        <w:rPr>
          <w:rFonts w:ascii="Times New Roman" w:eastAsia="Times New Roman" w:hAnsi="Times New Roman" w:cs="Times New Roman"/>
          <w:sz w:val="24"/>
          <w:szCs w:val="24"/>
        </w:rPr>
        <w:t>practices,</w:t>
      </w:r>
      <w:proofErr w:type="gramEnd"/>
      <w:r w:rsidRPr="005F47A3">
        <w:rPr>
          <w:rFonts w:ascii="Times New Roman" w:eastAsia="Times New Roman" w:hAnsi="Times New Roman" w:cs="Times New Roman"/>
          <w:sz w:val="24"/>
          <w:szCs w:val="24"/>
        </w:rPr>
        <w:t xml:space="preserve"> and where policy and practice do not align policies must be adjusted with full faculty oversight and input, especially in academic/curricular/health care provision/faculty affairs matters. </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Addendum:</w:t>
      </w: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See:</w:t>
      </w: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Regents Rule 40101 “Faculty Role in Educational Policy Formulation” and 40307 “Academic Program Approval Standards”</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 xml:space="preserve">Academic Affairs </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Resolution: Best Practices for Assessment of Service</w:t>
      </w: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Date: 4.17.15</w:t>
      </w: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Past: Unanimously</w:t>
      </w:r>
    </w:p>
    <w:p w:rsidR="005F47A3" w:rsidRPr="005F47A3" w:rsidRDefault="005F47A3" w:rsidP="005F47A3">
      <w:pPr>
        <w:spacing w:after="0" w:line="240" w:lineRule="auto"/>
        <w:rPr>
          <w:rFonts w:ascii="Times New Roman" w:eastAsia="Times New Roman" w:hAnsi="Times New Roman" w:cs="Times New Roman"/>
          <w:sz w:val="24"/>
          <w:szCs w:val="24"/>
        </w:rPr>
      </w:pPr>
      <w:r w:rsidRPr="005F47A3">
        <w:rPr>
          <w:rFonts w:ascii="Times New Roman" w:eastAsia="Times New Roman" w:hAnsi="Times New Roman" w:cs="Times New Roman"/>
          <w:sz w:val="24"/>
          <w:szCs w:val="24"/>
        </w:rPr>
        <w:t>Send to: Chancellor and EVC’s</w:t>
      </w:r>
    </w:p>
    <w:p w:rsidR="005F47A3" w:rsidRPr="005F47A3" w:rsidRDefault="005F47A3" w:rsidP="005F47A3">
      <w:pPr>
        <w:spacing w:after="0" w:line="240" w:lineRule="auto"/>
        <w:rPr>
          <w:rFonts w:ascii="Times New Roman" w:eastAsia="Times New Roman" w:hAnsi="Times New Roman" w:cs="Times New Roman"/>
          <w:sz w:val="24"/>
          <w:szCs w:val="24"/>
        </w:rPr>
      </w:pPr>
    </w:p>
    <w:p w:rsidR="005F47A3" w:rsidRPr="005F47A3" w:rsidRDefault="005F47A3" w:rsidP="005F47A3">
      <w:pPr>
        <w:spacing w:after="0" w:line="240" w:lineRule="auto"/>
        <w:jc w:val="center"/>
        <w:rPr>
          <w:rFonts w:ascii="Palatino Linotype" w:eastAsia="Times New Roman" w:hAnsi="Palatino Linotype" w:cs="Times New Roman"/>
          <w:b/>
        </w:rPr>
      </w:pPr>
      <w:r w:rsidRPr="005F47A3">
        <w:rPr>
          <w:rFonts w:ascii="Palatino Linotype" w:eastAsia="Times New Roman" w:hAnsi="Palatino Linotype" w:cs="Times New Roman"/>
          <w:b/>
        </w:rPr>
        <w:lastRenderedPageBreak/>
        <w:t>University of Texas System Faculty Advisory Council</w:t>
      </w:r>
    </w:p>
    <w:p w:rsidR="005F47A3" w:rsidRPr="005F47A3" w:rsidRDefault="005F47A3" w:rsidP="005F47A3">
      <w:pPr>
        <w:spacing w:after="0" w:line="240" w:lineRule="auto"/>
        <w:jc w:val="center"/>
        <w:rPr>
          <w:rFonts w:ascii="Palatino Linotype" w:eastAsia="Times New Roman" w:hAnsi="Palatino Linotype" w:cs="Times New Roman"/>
          <w:b/>
        </w:rPr>
      </w:pPr>
    </w:p>
    <w:p w:rsidR="005F47A3" w:rsidRPr="005F47A3" w:rsidRDefault="005F47A3" w:rsidP="005F47A3">
      <w:pPr>
        <w:spacing w:after="0" w:line="240" w:lineRule="auto"/>
        <w:jc w:val="center"/>
        <w:rPr>
          <w:rFonts w:ascii="Palatino Linotype" w:eastAsia="Times New Roman" w:hAnsi="Palatino Linotype" w:cs="Times New Roman"/>
          <w:b/>
        </w:rPr>
      </w:pPr>
      <w:r w:rsidRPr="005F47A3">
        <w:rPr>
          <w:rFonts w:ascii="Palatino Linotype" w:eastAsia="Times New Roman" w:hAnsi="Palatino Linotype" w:cs="Times New Roman"/>
          <w:b/>
        </w:rPr>
        <w:t>Best Practices: Policies and Procedures for Assessment of Service</w:t>
      </w:r>
      <w:r w:rsidRPr="005F47A3">
        <w:rPr>
          <w:rFonts w:ascii="Palatino Linotype" w:eastAsia="Times New Roman" w:hAnsi="Palatino Linotype" w:cs="Times New Roman"/>
          <w:b/>
          <w:vertAlign w:val="superscript"/>
        </w:rPr>
        <w:footnoteReference w:id="1"/>
      </w:r>
    </w:p>
    <w:p w:rsidR="005F47A3" w:rsidRPr="005F47A3" w:rsidRDefault="005F47A3" w:rsidP="005F47A3">
      <w:pPr>
        <w:spacing w:after="0" w:line="240" w:lineRule="auto"/>
        <w:rPr>
          <w:rFonts w:ascii="Palatino Linotype" w:eastAsia="Times New Roman" w:hAnsi="Palatino Linotype" w:cs="Times New Roman"/>
        </w:rPr>
      </w:pPr>
    </w:p>
    <w:p w:rsidR="005F47A3" w:rsidRPr="005F47A3" w:rsidRDefault="005F47A3" w:rsidP="005F47A3">
      <w:pPr>
        <w:spacing w:after="0" w:line="240" w:lineRule="auto"/>
        <w:rPr>
          <w:rFonts w:ascii="Palatino Linotype" w:eastAsia="Times New Roman" w:hAnsi="Palatino Linotype" w:cs="Times New Roman"/>
          <w:i/>
        </w:rPr>
      </w:pPr>
      <w:r w:rsidRPr="005F47A3">
        <w:rPr>
          <w:rFonts w:ascii="Palatino Linotype" w:eastAsia="Times New Roman" w:hAnsi="Palatino Linotype" w:cs="Times New Roman"/>
        </w:rPr>
        <w:t>Excellence in service is an essential but often underappreciated part of the job of faculty in the University of Texas System. Assessment and acknowledgment of service is central to the day-to-day operations of every academic and health campus in the UT System. The Faculty Advisory Council recommends that component campuses develop a policy for assessing service that incorporates the following best practices in the annual review processes.</w:t>
      </w:r>
      <w:r w:rsidRPr="005F47A3">
        <w:rPr>
          <w:rFonts w:ascii="Palatino Linotype" w:eastAsia="Times New Roman" w:hAnsi="Palatino Linotype" w:cs="Times New Roman"/>
          <w:i/>
        </w:rPr>
        <w:t xml:space="preserve"> </w:t>
      </w:r>
    </w:p>
    <w:p w:rsidR="005F47A3" w:rsidRPr="005F47A3" w:rsidRDefault="005F47A3" w:rsidP="005F47A3">
      <w:pPr>
        <w:spacing w:after="0" w:line="240" w:lineRule="auto"/>
        <w:rPr>
          <w:rFonts w:ascii="Palatino Linotype" w:eastAsia="Times New Roman" w:hAnsi="Palatino Linotype" w:cs="Times New Roman"/>
        </w:rPr>
      </w:pPr>
      <w:r w:rsidRPr="005F47A3">
        <w:rPr>
          <w:rFonts w:ascii="Palatino Linotype" w:eastAsia="Times New Roman" w:hAnsi="Palatino Linotype" w:cs="Times New Roman"/>
          <w:i/>
        </w:rPr>
        <w:br/>
      </w:r>
      <w:r w:rsidRPr="005F47A3">
        <w:rPr>
          <w:rFonts w:ascii="Palatino Linotype" w:eastAsia="Times New Roman" w:hAnsi="Palatino Linotype" w:cs="Times New Roman"/>
        </w:rPr>
        <w:t>Service is a fundamental responsibility of all colleges and universities, and is an important means by which UT System schools extend and apply the knowledge available in its instruction and research programs to the needs and problems of Texas citizens, government, businesses, and organizations.  Service activities can assist in providing solutions to state and federal needs.  Service applies a faculty member’s knowledge, skills, and expertise in order to benefit students, the institution, the profession, and the community in a manner consistent with the mission of the UT System, and so is an invaluable aspect of University life.</w:t>
      </w:r>
    </w:p>
    <w:p w:rsidR="005F47A3" w:rsidRPr="005F47A3" w:rsidRDefault="005F47A3" w:rsidP="005F47A3">
      <w:pPr>
        <w:spacing w:after="0" w:line="240" w:lineRule="auto"/>
        <w:rPr>
          <w:rFonts w:ascii="Palatino Linotype" w:eastAsia="Times New Roman" w:hAnsi="Palatino Linotype" w:cs="Times New Roman"/>
        </w:rPr>
      </w:pPr>
    </w:p>
    <w:p w:rsidR="005F47A3" w:rsidRPr="005F47A3" w:rsidRDefault="005F47A3" w:rsidP="005F47A3">
      <w:pPr>
        <w:spacing w:after="0" w:line="240" w:lineRule="auto"/>
        <w:rPr>
          <w:rFonts w:ascii="Palatino Linotype" w:eastAsia="Times New Roman" w:hAnsi="Palatino Linotype" w:cs="Times New Roman"/>
        </w:rPr>
      </w:pPr>
      <w:r w:rsidRPr="005F47A3">
        <w:rPr>
          <w:rFonts w:ascii="Palatino Linotype" w:eastAsia="Times New Roman" w:hAnsi="Palatino Linotype" w:cs="Times New Roman"/>
        </w:rPr>
        <w:t xml:space="preserve">Service includes a wide array of activities within the department, college, university, system, profession, and community. Such service can be academic or nonacademic, provided under contract or informally, and funded through external, internal, or a combination of sources, depending on the extent of the assistance and the availability of funds.  Service may include activities in any of the following general categories:  </w:t>
      </w:r>
    </w:p>
    <w:p w:rsidR="005F47A3" w:rsidRPr="005F47A3" w:rsidRDefault="005F47A3" w:rsidP="005F47A3">
      <w:pPr>
        <w:spacing w:after="0" w:line="240" w:lineRule="auto"/>
        <w:ind w:firstLine="720"/>
        <w:rPr>
          <w:rFonts w:ascii="Palatino Linotype" w:eastAsia="Times New Roman" w:hAnsi="Palatino Linotype" w:cs="Times New Roman"/>
        </w:rPr>
      </w:pPr>
      <w:r w:rsidRPr="005F47A3">
        <w:rPr>
          <w:rFonts w:ascii="Palatino Linotype" w:eastAsia="Times New Roman" w:hAnsi="Palatino Linotype" w:cs="Times New Roman"/>
        </w:rPr>
        <w:t>(1) Service to the Institution or System.  Service to the Institution or System involves activities that help faculty sustain or lead academic endeavors.  Service to the Institution or System requires faculty to provide energy, time, and leadership to sustain and develop viable and effective programs that contribute to support their University missions.</w:t>
      </w:r>
    </w:p>
    <w:p w:rsidR="005F47A3" w:rsidRPr="005F47A3" w:rsidRDefault="005F47A3" w:rsidP="005F47A3">
      <w:pPr>
        <w:spacing w:after="0" w:line="240" w:lineRule="auto"/>
        <w:ind w:firstLine="720"/>
        <w:rPr>
          <w:rFonts w:ascii="Palatino Linotype" w:eastAsia="Times New Roman" w:hAnsi="Palatino Linotype" w:cs="Times New Roman"/>
        </w:rPr>
      </w:pPr>
      <w:r w:rsidRPr="005F47A3">
        <w:rPr>
          <w:rFonts w:ascii="Palatino Linotype" w:eastAsia="Times New Roman" w:hAnsi="Palatino Linotype" w:cs="Times New Roman"/>
        </w:rPr>
        <w:t>(2) Service to the Discipline or Profession.  Service to the Discipline or Profession involves pursuits designed to enhance the scope, content, and quality of disciplinary or professional organizations or activities.  Service to the Discipline or Profession can promote the image, prestige, and perceived value of a discipline or profession, and can help faculty participate in shaping the standards used by the profession to evaluate research, pedagogy, or other academic interests.</w:t>
      </w:r>
    </w:p>
    <w:p w:rsidR="005F47A3" w:rsidRPr="005F47A3" w:rsidRDefault="005F47A3" w:rsidP="005F47A3">
      <w:pPr>
        <w:widowControl w:val="0"/>
        <w:spacing w:after="0" w:line="240" w:lineRule="auto"/>
        <w:ind w:firstLine="720"/>
        <w:rPr>
          <w:rFonts w:ascii="Palatino Linotype" w:eastAsia="Cambria" w:hAnsi="Palatino Linotype" w:cs="Times New Roman"/>
        </w:rPr>
      </w:pPr>
      <w:r w:rsidRPr="005F47A3">
        <w:rPr>
          <w:rFonts w:ascii="Palatino Linotype" w:eastAsia="Cambria" w:hAnsi="Palatino Linotype" w:cs="Times New Roman"/>
        </w:rPr>
        <w:t xml:space="preserve">(3) Community Engagement.  Community Engagement service activities positively impact the public welfare beyond the university community, through mutually beneficial ventures that span educational, health, public policy, civic, or community development areas. Community engagement service activities join the interests of the faculty with a defined need of </w:t>
      </w:r>
      <w:r w:rsidRPr="005F47A3">
        <w:rPr>
          <w:rFonts w:ascii="Palatino Linotype" w:eastAsia="Cambria" w:hAnsi="Palatino Linotype" w:cs="Times New Roman"/>
        </w:rPr>
        <w:lastRenderedPageBreak/>
        <w:t>the community. Community Engagement service activities appropriately combine community need, professional expertise, and meaningful outcomes for the faculty.</w:t>
      </w:r>
    </w:p>
    <w:p w:rsidR="005F47A3" w:rsidRPr="005F47A3" w:rsidRDefault="005F47A3" w:rsidP="005F47A3">
      <w:pPr>
        <w:spacing w:after="0" w:line="240" w:lineRule="auto"/>
        <w:ind w:firstLine="720"/>
        <w:rPr>
          <w:rFonts w:ascii="Palatino Linotype" w:eastAsia="Times New Roman" w:hAnsi="Palatino Linotype" w:cs="Times New Roman"/>
        </w:rPr>
      </w:pPr>
      <w:r w:rsidRPr="005F47A3">
        <w:rPr>
          <w:rFonts w:ascii="Palatino Linotype" w:eastAsia="Times New Roman" w:hAnsi="Palatino Linotype" w:cs="Times New Roman"/>
        </w:rPr>
        <w:t xml:space="preserve">(4) Community Outreach.  Community Outreach service activities are those in which faculty serve as the institution’s representative in a community setting, rather than applying disciplinary expertise to community issues.  Volunteerism and acts of good citizenship, undertaken as part of one’s active professional responsibilities to the university, provide an invaluable service to the wider community. </w:t>
      </w:r>
    </w:p>
    <w:p w:rsidR="005F47A3" w:rsidRPr="005F47A3" w:rsidRDefault="005F47A3" w:rsidP="005F47A3">
      <w:pPr>
        <w:spacing w:after="0" w:line="240" w:lineRule="auto"/>
        <w:ind w:firstLine="720"/>
        <w:rPr>
          <w:rFonts w:ascii="Palatino Linotype" w:eastAsia="Times New Roman" w:hAnsi="Palatino Linotype" w:cs="Times New Roman"/>
        </w:rPr>
      </w:pPr>
    </w:p>
    <w:p w:rsidR="005F47A3" w:rsidRPr="005F47A3" w:rsidRDefault="005F47A3" w:rsidP="005F47A3">
      <w:pPr>
        <w:spacing w:beforeLines="1" w:before="2" w:afterLines="1" w:after="2" w:line="240" w:lineRule="auto"/>
        <w:rPr>
          <w:rFonts w:ascii="Palatino Linotype" w:eastAsia="Cambria" w:hAnsi="Palatino Linotype" w:cs="Times New Roman"/>
        </w:rPr>
      </w:pPr>
      <w:r w:rsidRPr="005F47A3">
        <w:rPr>
          <w:rFonts w:ascii="Palatino Linotype" w:eastAsia="Cambria" w:hAnsi="Palatino Linotype" w:cs="Times New Roman"/>
        </w:rPr>
        <w:t>By its nature, service is distinct from teaching and research, so any assessment of service ought to differ from evaluations of teaching and research.  (“Service teaching,” for example, in which teaching an overload is counted as service without compensation or the ability to bank and apply the credit for a future course release, is not a category of University service.  Asking faculty to teach without appropriate compensation imposes excessive loads under the guise of service and is inconsonant with best practices.)  Evaluation of service ought to rely on such criteria as the depth of expertise and preparation, quality of the work, impact, and appropriateness of goals.  Evaluation of service should take into consideration the scope and effect of the service work to the institution, system, discipline, profession, or community. Evaluation of service should also consider the faculty member’s own assessment of the value of the service he/she is engaged in, and the ways in which service positively functions as part of the faculty member’s academic life.</w:t>
      </w:r>
    </w:p>
    <w:p w:rsidR="005F47A3" w:rsidRPr="005F47A3" w:rsidRDefault="005F47A3" w:rsidP="0071432E">
      <w:pPr>
        <w:spacing w:after="0" w:line="240" w:lineRule="auto"/>
        <w:rPr>
          <w:rFonts w:ascii="Times New Roman" w:hAnsi="Times New Roman" w:cs="Times New Roman"/>
          <w:sz w:val="24"/>
          <w:szCs w:val="24"/>
        </w:rPr>
      </w:pPr>
    </w:p>
    <w:p w:rsidR="005F47A3" w:rsidRPr="005F47A3" w:rsidRDefault="005F47A3">
      <w:pPr>
        <w:spacing w:after="0" w:line="240" w:lineRule="auto"/>
        <w:rPr>
          <w:rFonts w:ascii="Times New Roman" w:hAnsi="Times New Roman" w:cs="Times New Roman"/>
          <w:b/>
          <w:sz w:val="24"/>
          <w:szCs w:val="24"/>
        </w:rPr>
      </w:pPr>
    </w:p>
    <w:sectPr w:rsidR="005F47A3" w:rsidRPr="005F4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A3" w:rsidRDefault="005F47A3" w:rsidP="005F47A3">
      <w:pPr>
        <w:spacing w:after="0" w:line="240" w:lineRule="auto"/>
      </w:pPr>
      <w:r>
        <w:separator/>
      </w:r>
    </w:p>
  </w:endnote>
  <w:endnote w:type="continuationSeparator" w:id="0">
    <w:p w:rsidR="005F47A3" w:rsidRDefault="005F47A3" w:rsidP="005F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A3" w:rsidRDefault="005F47A3" w:rsidP="005F47A3">
      <w:pPr>
        <w:spacing w:after="0" w:line="240" w:lineRule="auto"/>
      </w:pPr>
      <w:r>
        <w:separator/>
      </w:r>
    </w:p>
  </w:footnote>
  <w:footnote w:type="continuationSeparator" w:id="0">
    <w:p w:rsidR="005F47A3" w:rsidRDefault="005F47A3" w:rsidP="005F47A3">
      <w:pPr>
        <w:spacing w:after="0" w:line="240" w:lineRule="auto"/>
      </w:pPr>
      <w:r>
        <w:continuationSeparator/>
      </w:r>
    </w:p>
  </w:footnote>
  <w:footnote w:id="1">
    <w:p w:rsidR="005F47A3" w:rsidRPr="00836ABA" w:rsidRDefault="005F47A3" w:rsidP="005F47A3">
      <w:pPr>
        <w:pStyle w:val="FootnoteText"/>
        <w:rPr>
          <w:rFonts w:ascii="Palatino Linotype" w:hAnsi="Palatino Linotype"/>
          <w:sz w:val="18"/>
        </w:rPr>
      </w:pPr>
      <w:r w:rsidRPr="00836ABA">
        <w:rPr>
          <w:rStyle w:val="FootnoteReference"/>
          <w:rFonts w:ascii="Palatino Linotype" w:hAnsi="Palatino Linotype"/>
          <w:sz w:val="18"/>
        </w:rPr>
        <w:footnoteRef/>
      </w:r>
      <w:r w:rsidRPr="00836ABA">
        <w:rPr>
          <w:rFonts w:ascii="Palatino Linotype" w:hAnsi="Palatino Linotype"/>
          <w:sz w:val="18"/>
        </w:rPr>
        <w:t xml:space="preserve"> Informed significantly by Stanford’s “Creating a Comprehensive System for Evaluating and Supporting Effective Teaching,” (2012, </w:t>
      </w:r>
      <w:hyperlink r:id="rId1" w:history="1">
        <w:r w:rsidRPr="00836ABA">
          <w:rPr>
            <w:rStyle w:val="Hyperlink"/>
            <w:rFonts w:ascii="Palatino Linotype" w:hAnsi="Palatino Linotype"/>
            <w:sz w:val="18"/>
          </w:rPr>
          <w:t>https://edpolicy.stanford.edu/sites/default/files/publications/creating-comprehensive-system-evaluating-and-supporting-effective-teaching.pdf</w:t>
        </w:r>
      </w:hyperlink>
      <w:r w:rsidRPr="00836ABA">
        <w:rPr>
          <w:rFonts w:ascii="Palatino Linotype" w:hAnsi="Palatino Linotype"/>
          <w:sz w:val="18"/>
        </w:rPr>
        <w:t xml:space="preserve"> ); Miami University of Ohio’s “Defining, Documenting, and Evaluating Service A Guide for Regional Campus Faculty,” </w:t>
      </w:r>
      <w:hyperlink r:id="rId2" w:history="1">
        <w:r w:rsidRPr="00836ABA">
          <w:rPr>
            <w:rStyle w:val="Hyperlink"/>
            <w:rFonts w:ascii="Palatino Linotype" w:hAnsi="Palatino Linotype"/>
            <w:sz w:val="18"/>
          </w:rPr>
          <w:t>http://www.mid.muohio.edu/publications/faculty_service_guide_final.pdf</w:t>
        </w:r>
      </w:hyperlink>
      <w:r w:rsidRPr="00836ABA">
        <w:rPr>
          <w:rFonts w:ascii="Palatino Linotype" w:hAnsi="Palatino Linotype"/>
          <w:sz w:val="18"/>
        </w:rPr>
        <w:t xml:space="preserve"> ; and the University System of Georgia’s Academic Affairs Evaluation of Faculty, </w:t>
      </w:r>
      <w:hyperlink r:id="rId3" w:history="1">
        <w:r w:rsidRPr="00836ABA">
          <w:rPr>
            <w:rStyle w:val="Hyperlink"/>
            <w:rFonts w:ascii="Palatino Linotype" w:hAnsi="Palatino Linotype"/>
            <w:sz w:val="18"/>
          </w:rPr>
          <w:t>http://www.usg.edu/academic_affairs_handbook/section4/C691/</w:t>
        </w:r>
      </w:hyperlink>
      <w:r w:rsidRPr="00836ABA">
        <w:rPr>
          <w:rFonts w:ascii="Palatino Linotype" w:hAnsi="Palatino Linotype"/>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2E"/>
    <w:rsid w:val="003552DE"/>
    <w:rsid w:val="005F47A3"/>
    <w:rsid w:val="0071432E"/>
    <w:rsid w:val="00A45CB7"/>
    <w:rsid w:val="00B7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47A3"/>
    <w:rPr>
      <w:color w:val="0000FF"/>
      <w:u w:val="single"/>
    </w:rPr>
  </w:style>
  <w:style w:type="paragraph" w:styleId="FootnoteText">
    <w:name w:val="footnote text"/>
    <w:basedOn w:val="Normal"/>
    <w:link w:val="FootnoteTextChar"/>
    <w:uiPriority w:val="99"/>
    <w:semiHidden/>
    <w:unhideWhenUsed/>
    <w:rsid w:val="005F47A3"/>
    <w:pPr>
      <w:spacing w:after="0" w:line="240" w:lineRule="auto"/>
    </w:pPr>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semiHidden/>
    <w:rsid w:val="005F47A3"/>
    <w:rPr>
      <w:rFonts w:ascii="Times New Roman" w:eastAsia="Cambria" w:hAnsi="Times New Roman" w:cs="Times New Roman"/>
      <w:sz w:val="20"/>
      <w:szCs w:val="20"/>
    </w:rPr>
  </w:style>
  <w:style w:type="character" w:styleId="FootnoteReference">
    <w:name w:val="footnote reference"/>
    <w:basedOn w:val="DefaultParagraphFont"/>
    <w:uiPriority w:val="99"/>
    <w:semiHidden/>
    <w:unhideWhenUsed/>
    <w:rsid w:val="005F47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47A3"/>
    <w:rPr>
      <w:color w:val="0000FF"/>
      <w:u w:val="single"/>
    </w:rPr>
  </w:style>
  <w:style w:type="paragraph" w:styleId="FootnoteText">
    <w:name w:val="footnote text"/>
    <w:basedOn w:val="Normal"/>
    <w:link w:val="FootnoteTextChar"/>
    <w:uiPriority w:val="99"/>
    <w:semiHidden/>
    <w:unhideWhenUsed/>
    <w:rsid w:val="005F47A3"/>
    <w:pPr>
      <w:spacing w:after="0" w:line="240" w:lineRule="auto"/>
    </w:pPr>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semiHidden/>
    <w:rsid w:val="005F47A3"/>
    <w:rPr>
      <w:rFonts w:ascii="Times New Roman" w:eastAsia="Cambria" w:hAnsi="Times New Roman" w:cs="Times New Roman"/>
      <w:sz w:val="20"/>
      <w:szCs w:val="20"/>
    </w:rPr>
  </w:style>
  <w:style w:type="character" w:styleId="FootnoteReference">
    <w:name w:val="footnote reference"/>
    <w:basedOn w:val="DefaultParagraphFont"/>
    <w:uiPriority w:val="99"/>
    <w:semiHidden/>
    <w:unhideWhenUsed/>
    <w:rsid w:val="005F4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usg.edu/academic_affairs_handbook/section4/C691/" TargetMode="External"/><Relationship Id="rId2" Type="http://schemas.openxmlformats.org/officeDocument/2006/relationships/hyperlink" Target="http://www.mid.muohio.edu/publications/faculty_service_guide_final.pdf" TargetMode="External"/><Relationship Id="rId1" Type="http://schemas.openxmlformats.org/officeDocument/2006/relationships/hyperlink" Target="https://edpolicy.stanford.edu/sites/default/files/publications/creating-comprehensive-system-evaluating-and-supporting-effective-teac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2907</Words>
  <Characters>16576</Characters>
  <Application>Microsoft Office Word</Application>
  <DocSecurity>0</DocSecurity>
  <Lines>138</Lines>
  <Paragraphs>38</Paragraphs>
  <ScaleCrop>false</ScaleCrop>
  <Company>UTSYSTEM</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Greves, Jocelyn</dc:creator>
  <cp:lastModifiedBy>Greves, Jocelyn</cp:lastModifiedBy>
  <cp:revision>4</cp:revision>
  <dcterms:created xsi:type="dcterms:W3CDTF">2016-05-11T14:56:00Z</dcterms:created>
  <dcterms:modified xsi:type="dcterms:W3CDTF">2016-05-11T17:36:00Z</dcterms:modified>
</cp:coreProperties>
</file>